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E2" w:rsidRDefault="009213F1" w:rsidP="009213F1">
      <w:pPr>
        <w:jc w:val="center"/>
        <w:rPr>
          <w:b/>
          <w:sz w:val="32"/>
          <w:szCs w:val="32"/>
          <w:u w:val="single"/>
        </w:rPr>
      </w:pPr>
      <w:proofErr w:type="spellStart"/>
      <w:r w:rsidRPr="009213F1">
        <w:rPr>
          <w:b/>
          <w:sz w:val="32"/>
          <w:szCs w:val="32"/>
          <w:u w:val="single"/>
        </w:rPr>
        <w:t>Crowdfunding</w:t>
      </w:r>
      <w:proofErr w:type="spellEnd"/>
      <w:r w:rsidRPr="009213F1">
        <w:rPr>
          <w:b/>
          <w:sz w:val="32"/>
          <w:szCs w:val="32"/>
          <w:u w:val="single"/>
        </w:rPr>
        <w:t>...</w:t>
      </w:r>
    </w:p>
    <w:p w:rsidR="009213F1" w:rsidRDefault="009213F1" w:rsidP="009213F1">
      <w:pPr>
        <w:pStyle w:val="Geenafstand"/>
        <w:jc w:val="both"/>
      </w:pPr>
      <w:r>
        <w:t>Een term die steeds meer ingang vindt in het moderne hedendaags economisch beleven. Op die manier kan een organisatie, een bedrijf of één of ander initiatief</w:t>
      </w:r>
      <w:r w:rsidR="00992CCC">
        <w:t>,</w:t>
      </w:r>
      <w:r w:rsidR="00240E87">
        <w:t xml:space="preserve"> zélfs </w:t>
      </w:r>
      <w:r w:rsidR="00992CCC">
        <w:t xml:space="preserve">een </w:t>
      </w:r>
      <w:r w:rsidR="00240E87">
        <w:t>sportclub</w:t>
      </w:r>
      <w:r w:rsidR="00992CCC">
        <w:t xml:space="preserve"> (!)</w:t>
      </w:r>
      <w:r>
        <w:t xml:space="preserve"> fondsen werven bij mensen die geloven in een aangeboden project. Nieuwste trend</w:t>
      </w:r>
      <w:r w:rsidR="00260338">
        <w:t xml:space="preserve"> (hot </w:t>
      </w:r>
      <w:proofErr w:type="gramStart"/>
      <w:r w:rsidR="00260338">
        <w:t>item</w:t>
      </w:r>
      <w:proofErr w:type="gramEnd"/>
      <w:r w:rsidR="00260338">
        <w:t>)</w:t>
      </w:r>
      <w:r>
        <w:t xml:space="preserve">, en </w:t>
      </w:r>
      <w:r w:rsidR="00260338">
        <w:t xml:space="preserve">soms </w:t>
      </w:r>
      <w:r>
        <w:t>ook niet onaardig.</w:t>
      </w:r>
      <w:r w:rsidR="00260338">
        <w:t xml:space="preserve"> </w:t>
      </w:r>
      <w:proofErr w:type="spellStart"/>
      <w:r w:rsidR="00260338">
        <w:t>Crowdfunding</w:t>
      </w:r>
      <w:proofErr w:type="spellEnd"/>
      <w:r w:rsidR="00260338">
        <w:t xml:space="preserve"> staat voor: ‘</w:t>
      </w:r>
      <w:r w:rsidR="00240E87">
        <w:t>O</w:t>
      </w:r>
      <w:r w:rsidR="00260338">
        <w:t xml:space="preserve">p vrijwillige basis geld investeren in een project waar </w:t>
      </w:r>
      <w:r w:rsidR="00C06CBB">
        <w:t>j</w:t>
      </w:r>
      <w:r w:rsidR="00260338">
        <w:t xml:space="preserve">e </w:t>
      </w:r>
      <w:r w:rsidR="00C06CBB">
        <w:t xml:space="preserve">als </w:t>
      </w:r>
      <w:r w:rsidR="00260338">
        <w:t>investeerder achterstaat’.</w:t>
      </w:r>
    </w:p>
    <w:p w:rsidR="00240E87" w:rsidRDefault="00240E87" w:rsidP="00240E87">
      <w:pPr>
        <w:pStyle w:val="Geenafstand"/>
        <w:jc w:val="center"/>
      </w:pPr>
      <w:r>
        <w:rPr>
          <w:noProof/>
          <w:lang w:eastAsia="nl-BE"/>
        </w:rPr>
        <w:drawing>
          <wp:inline distT="0" distB="0" distL="0" distR="0">
            <wp:extent cx="977361" cy="733425"/>
            <wp:effectExtent l="0" t="0" r="0" b="0"/>
            <wp:docPr id="2" name="Afbeelding 2" descr="C:\Users\Rony Callewaert\AppData\Local\Microsoft\Windows\INetCache\IE\3X735NBS\Euro_coins_and_bankno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y Callewaert\AppData\Local\Microsoft\Windows\INetCache\IE\3X735NBS\Euro_coins_and_banknot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99" cy="73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CCC" w:rsidRDefault="00992CCC" w:rsidP="00C06CBB">
      <w:pPr>
        <w:pStyle w:val="Geenafstand"/>
        <w:jc w:val="both"/>
      </w:pPr>
      <w:r>
        <w:t xml:space="preserve">Soms gaat het énkel om de financiële return waar investeerders voor gaan. Studies hebben </w:t>
      </w:r>
      <w:r w:rsidR="00C06CBB">
        <w:t xml:space="preserve">tot </w:t>
      </w:r>
      <w:r>
        <w:t>nog</w:t>
      </w:r>
      <w:r w:rsidR="00C06CBB">
        <w:t xml:space="preserve"> toe</w:t>
      </w:r>
      <w:r>
        <w:t xml:space="preserve"> niet uitgewezen of die in de meerderheid zijn</w:t>
      </w:r>
      <w:r w:rsidR="00C06CBB">
        <w:t>. Ik laat dit in het midden, daar voor twijfel vatbaar.</w:t>
      </w:r>
    </w:p>
    <w:p w:rsidR="00C06CBB" w:rsidRDefault="00C06CBB" w:rsidP="00C06CBB">
      <w:pPr>
        <w:pStyle w:val="Geenafstand"/>
        <w:jc w:val="both"/>
      </w:pPr>
      <w:r>
        <w:t xml:space="preserve">Wat ik wél weet is het feit dat dergelijke projecten wel degelijk de mensen beroert. Stel nu zélf als je de keuze hebt tussen een droge 0.1% (of nog minder), dan ga je toch voor iets méér! Vooral op basis van </w:t>
      </w:r>
      <w:proofErr w:type="gramStart"/>
      <w:r>
        <w:t>hetgeen</w:t>
      </w:r>
      <w:proofErr w:type="gramEnd"/>
      <w:r>
        <w:t xml:space="preserve"> je als investeerder vernam van het project en het geloof daarin.</w:t>
      </w:r>
    </w:p>
    <w:p w:rsidR="00C06CBB" w:rsidRDefault="00C06CBB" w:rsidP="00C06CBB">
      <w:pPr>
        <w:pStyle w:val="Geenafstand"/>
        <w:jc w:val="center"/>
      </w:pPr>
      <w:r>
        <w:rPr>
          <w:noProof/>
          <w:lang w:eastAsia="nl-BE"/>
        </w:rPr>
        <w:drawing>
          <wp:inline distT="0" distB="0" distL="0" distR="0">
            <wp:extent cx="933450" cy="1037844"/>
            <wp:effectExtent l="0" t="0" r="0" b="0"/>
            <wp:docPr id="4" name="Afbeelding 4" descr="C:\Users\Rony Callewaert\AppData\Local\Microsoft\Windows\INetCache\IE\3X735NBS\Soccer_Field_Transparan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ny Callewaert\AppData\Local\Microsoft\Windows\INetCache\IE\3X735NBS\Soccer_Field_Transparant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23" cy="10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ED" w:rsidRDefault="00C06CBB" w:rsidP="00C06CBB">
      <w:pPr>
        <w:pStyle w:val="Geenafstand"/>
        <w:jc w:val="both"/>
      </w:pPr>
      <w:r>
        <w:t xml:space="preserve">Het éne project lukt al wat beter als het andere; zowel in </w:t>
      </w:r>
      <w:r w:rsidR="003069A5">
        <w:t xml:space="preserve">het </w:t>
      </w:r>
      <w:r>
        <w:t xml:space="preserve">verleden als naar </w:t>
      </w:r>
      <w:r w:rsidR="00C068ED">
        <w:t xml:space="preserve">de </w:t>
      </w:r>
      <w:r>
        <w:t>toekomst toe. Te oordelen naar</w:t>
      </w:r>
      <w:r w:rsidR="003069A5">
        <w:t xml:space="preserve"> de investeerder ‘van dienst’, die zijn/haar keuze initieel heeft gemaakt en geconfronteerd wordt met een duidelijke meer- of </w:t>
      </w:r>
      <w:proofErr w:type="gramStart"/>
      <w:r w:rsidR="003069A5">
        <w:t>min</w:t>
      </w:r>
      <w:r w:rsidR="00C068ED">
        <w:t>der</w:t>
      </w:r>
      <w:r w:rsidR="003069A5">
        <w:t xml:space="preserve">waarde.  </w:t>
      </w:r>
      <w:proofErr w:type="gramEnd"/>
      <w:r w:rsidR="003069A5">
        <w:t xml:space="preserve">Bijstelling tot verder investeren aangeraden of afbouwen van de positie? Aan </w:t>
      </w:r>
      <w:r w:rsidR="00C068ED">
        <w:t>hen de keuze...</w:t>
      </w:r>
    </w:p>
    <w:p w:rsidR="00C068ED" w:rsidRDefault="00C068ED" w:rsidP="00C068ED">
      <w:pPr>
        <w:pStyle w:val="Geenafstand"/>
        <w:jc w:val="center"/>
      </w:pPr>
      <w:r>
        <w:rPr>
          <w:noProof/>
          <w:lang w:eastAsia="nl-BE"/>
        </w:rPr>
        <w:drawing>
          <wp:inline distT="0" distB="0" distL="0" distR="0">
            <wp:extent cx="3895725" cy="2076450"/>
            <wp:effectExtent l="0" t="0" r="9525" b="19050"/>
            <wp:docPr id="5" name="Grafie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69A5" w:rsidRDefault="003069A5" w:rsidP="00C06CBB">
      <w:pPr>
        <w:pStyle w:val="Geenafstand"/>
        <w:jc w:val="both"/>
      </w:pPr>
    </w:p>
    <w:p w:rsidR="003069A5" w:rsidRDefault="00C8789C" w:rsidP="00C06CBB">
      <w:pPr>
        <w:pStyle w:val="Geenafstand"/>
        <w:jc w:val="both"/>
      </w:pPr>
      <w:r>
        <w:t>Uit voorgaande tabel blijkt dat er reeksen en categorieën bestaan, zowel naar ranking als naar reeksen toe. Vandaar mijn boodschap: probeer volgens jouw investering (fysieke paraatheid, inzet voor vriendenkring, collegialiteit) de voor jou geschiktste plaats te vinden. De investering is aan jou: en... de return ook!</w:t>
      </w:r>
    </w:p>
    <w:p w:rsidR="00C8789C" w:rsidRDefault="00C8789C" w:rsidP="00C06CBB">
      <w:pPr>
        <w:pStyle w:val="Geenafstand"/>
        <w:jc w:val="both"/>
      </w:pPr>
    </w:p>
    <w:p w:rsidR="00C8789C" w:rsidRDefault="00C8789C" w:rsidP="00C06CBB">
      <w:pPr>
        <w:pStyle w:val="Geenafstand"/>
        <w:jc w:val="both"/>
      </w:pPr>
      <w:r>
        <w:t>Alle succes in jullie nieuwe seizoen!</w:t>
      </w:r>
    </w:p>
    <w:p w:rsidR="00C8789C" w:rsidRDefault="00C8789C" w:rsidP="00C06CBB">
      <w:pPr>
        <w:pStyle w:val="Geenafstand"/>
        <w:jc w:val="both"/>
      </w:pPr>
    </w:p>
    <w:p w:rsidR="00C8789C" w:rsidRDefault="00C8789C" w:rsidP="00C06CBB">
      <w:pPr>
        <w:pStyle w:val="Geenafstand"/>
        <w:jc w:val="both"/>
      </w:pPr>
      <w:proofErr w:type="spellStart"/>
      <w:r>
        <w:t>Rony</w:t>
      </w:r>
      <w:proofErr w:type="spellEnd"/>
      <w:r>
        <w:t xml:space="preserve"> Callewaert</w:t>
      </w:r>
    </w:p>
    <w:p w:rsidR="009213F1" w:rsidRDefault="00C8789C" w:rsidP="00C8789C">
      <w:pPr>
        <w:pStyle w:val="Geenafstand"/>
        <w:jc w:val="both"/>
      </w:pPr>
      <w:r>
        <w:t xml:space="preserve">Referee </w:t>
      </w:r>
      <w:proofErr w:type="spellStart"/>
      <w:r>
        <w:t>Observer</w:t>
      </w:r>
      <w:proofErr w:type="spellEnd"/>
      <w:r>
        <w:t xml:space="preserve"> West-Vlaanderen</w:t>
      </w:r>
      <w:bookmarkStart w:id="0" w:name="_GoBack"/>
      <w:bookmarkEnd w:id="0"/>
    </w:p>
    <w:p w:rsidR="009213F1" w:rsidRPr="009213F1" w:rsidRDefault="009213F1" w:rsidP="009213F1">
      <w:pPr>
        <w:pStyle w:val="Geenafstand"/>
        <w:jc w:val="both"/>
      </w:pPr>
    </w:p>
    <w:sectPr w:rsidR="009213F1" w:rsidRPr="0092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F1"/>
    <w:rsid w:val="00240E87"/>
    <w:rsid w:val="00260338"/>
    <w:rsid w:val="002E19E2"/>
    <w:rsid w:val="003069A5"/>
    <w:rsid w:val="009213F1"/>
    <w:rsid w:val="00992CCC"/>
    <w:rsid w:val="00C068ED"/>
    <w:rsid w:val="00C06CBB"/>
    <w:rsid w:val="00C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13F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13F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Reeks 1</c:v>
                </c:pt>
              </c:strCache>
            </c:strRef>
          </c:tx>
          <c:invertIfNegative val="0"/>
          <c:cat>
            <c:strRef>
              <c:f>Blad1!$A$2:$A$5</c:f>
              <c:strCache>
                <c:ptCount val="4"/>
                <c:pt idx="0">
                  <c:v>Categorie 1</c:v>
                </c:pt>
                <c:pt idx="1">
                  <c:v>Categorie 2</c:v>
                </c:pt>
                <c:pt idx="2">
                  <c:v>Categorie 3</c:v>
                </c:pt>
                <c:pt idx="3">
                  <c:v>Categorie 4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Reeks 2</c:v>
                </c:pt>
              </c:strCache>
            </c:strRef>
          </c:tx>
          <c:invertIfNegative val="0"/>
          <c:cat>
            <c:strRef>
              <c:f>Blad1!$A$2:$A$5</c:f>
              <c:strCache>
                <c:ptCount val="4"/>
                <c:pt idx="0">
                  <c:v>Categorie 1</c:v>
                </c:pt>
                <c:pt idx="1">
                  <c:v>Categorie 2</c:v>
                </c:pt>
                <c:pt idx="2">
                  <c:v>Categorie 3</c:v>
                </c:pt>
                <c:pt idx="3">
                  <c:v>Categorie 4</c:v>
                </c:pt>
              </c:strCache>
            </c:strRef>
          </c:cat>
          <c:val>
            <c:numRef>
              <c:f>Blad1!$C$2:$C$5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Reeks 3</c:v>
                </c:pt>
              </c:strCache>
            </c:strRef>
          </c:tx>
          <c:invertIfNegative val="0"/>
          <c:cat>
            <c:strRef>
              <c:f>Blad1!$A$2:$A$5</c:f>
              <c:strCache>
                <c:ptCount val="4"/>
                <c:pt idx="0">
                  <c:v>Categorie 1</c:v>
                </c:pt>
                <c:pt idx="1">
                  <c:v>Categorie 2</c:v>
                </c:pt>
                <c:pt idx="2">
                  <c:v>Categorie 3</c:v>
                </c:pt>
                <c:pt idx="3">
                  <c:v>Categorie 4</c:v>
                </c:pt>
              </c:strCache>
            </c:strRef>
          </c:cat>
          <c:val>
            <c:numRef>
              <c:f>Blad1!$D$2:$D$5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207744"/>
        <c:axId val="90209280"/>
        <c:axId val="39768960"/>
      </c:bar3DChart>
      <c:catAx>
        <c:axId val="90207744"/>
        <c:scaling>
          <c:orientation val="minMax"/>
        </c:scaling>
        <c:delete val="0"/>
        <c:axPos val="b"/>
        <c:majorTickMark val="out"/>
        <c:minorTickMark val="none"/>
        <c:tickLblPos val="nextTo"/>
        <c:crossAx val="90209280"/>
        <c:crosses val="autoZero"/>
        <c:auto val="1"/>
        <c:lblAlgn val="ctr"/>
        <c:lblOffset val="100"/>
        <c:noMultiLvlLbl val="0"/>
      </c:catAx>
      <c:valAx>
        <c:axId val="90209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207744"/>
        <c:crosses val="autoZero"/>
        <c:crossBetween val="between"/>
      </c:valAx>
      <c:serAx>
        <c:axId val="39768960"/>
        <c:scaling>
          <c:orientation val="minMax"/>
        </c:scaling>
        <c:delete val="0"/>
        <c:axPos val="b"/>
        <c:majorTickMark val="out"/>
        <c:minorTickMark val="none"/>
        <c:tickLblPos val="nextTo"/>
        <c:crossAx val="902092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2018-07-18T16:27:00Z</dcterms:created>
  <dcterms:modified xsi:type="dcterms:W3CDTF">2018-07-18T16:27:00Z</dcterms:modified>
</cp:coreProperties>
</file>